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s="Times New Roman"/>
          <w:color w:val="FF0000"/>
          <w:sz w:val="76"/>
          <w:szCs w:val="76"/>
        </w:rPr>
      </w:pPr>
      <w:bookmarkStart w:id="0" w:name="OLE_LINK1"/>
    </w:p>
    <w:p>
      <w:pPr>
        <w:rPr>
          <w:rFonts w:ascii="方正小标宋简体" w:eastAsia="方正小标宋简体" w:cs="Times New Roman"/>
          <w:sz w:val="76"/>
          <w:szCs w:val="76"/>
        </w:rPr>
      </w:pPr>
      <w:r>
        <w:rPr>
          <w:rFonts w:eastAsia="宋体" w:cs="Times New Roman"/>
          <w:sz w:val="76"/>
        </w:rPr>
        <mc:AlternateContent>
          <mc:Choice Requires="wpg">
            <w:drawing>
              <wp:anchor distT="0" distB="0" distL="114300" distR="114300" simplePos="0" relativeHeight="251659264" behindDoc="0" locked="0" layoutInCell="1" allowOverlap="1">
                <wp:simplePos x="0" y="0"/>
                <wp:positionH relativeFrom="column">
                  <wp:posOffset>-12700</wp:posOffset>
                </wp:positionH>
                <wp:positionV relativeFrom="paragraph">
                  <wp:posOffset>581025</wp:posOffset>
                </wp:positionV>
                <wp:extent cx="5637530" cy="1935480"/>
                <wp:effectExtent l="0" t="0" r="1270" b="17780"/>
                <wp:wrapNone/>
                <wp:docPr id="11" name="组合 11"/>
                <wp:cNvGraphicFramePr/>
                <a:graphic xmlns:a="http://schemas.openxmlformats.org/drawingml/2006/main">
                  <a:graphicData uri="http://schemas.microsoft.com/office/word/2010/wordprocessingGroup">
                    <wpg:wgp>
                      <wpg:cNvGrpSpPr/>
                      <wpg:grpSpPr>
                        <a:xfrm>
                          <a:off x="0" y="0"/>
                          <a:ext cx="5637530" cy="1935480"/>
                          <a:chOff x="9350" y="4374"/>
                          <a:chExt cx="8878" cy="3048"/>
                        </a:xfrm>
                        <a:effectLst/>
                      </wpg:grpSpPr>
                      <wps:wsp>
                        <wps:cNvPr id="12" name="直接连接符 6"/>
                        <wps:cNvCnPr/>
                        <wps:spPr>
                          <a:xfrm>
                            <a:off x="9381" y="7422"/>
                            <a:ext cx="8834" cy="0"/>
                          </a:xfrm>
                          <a:prstGeom prst="line">
                            <a:avLst/>
                          </a:prstGeom>
                          <a:ln w="35560" cap="flat" cmpd="sng">
                            <a:solidFill>
                              <a:srgbClr val="FF0000"/>
                            </a:solidFill>
                            <a:prstDash val="solid"/>
                            <a:headEnd type="none" w="med" len="med"/>
                            <a:tailEnd type="none" w="med" len="med"/>
                          </a:ln>
                          <a:effectLst/>
                        </wps:spPr>
                        <wps:bodyPr upright="true"/>
                      </wps:wsp>
                      <wps:wsp>
                        <wps:cNvPr id="13" name="文本框 7"/>
                        <wps:cNvSpPr txBox="true"/>
                        <wps:spPr>
                          <a:xfrm>
                            <a:off x="9350" y="4374"/>
                            <a:ext cx="8879" cy="1560"/>
                          </a:xfrm>
                          <a:prstGeom prst="rect">
                            <a:avLst/>
                          </a:prstGeom>
                          <a:noFill/>
                          <a:ln>
                            <a:noFill/>
                          </a:ln>
                          <a:effectLst/>
                        </wps:spPr>
                        <wps:txbx>
                          <w:txbxContent>
                            <w:p>
                              <w:pPr>
                                <w:jc w:val="distribute"/>
                                <w:rPr>
                                  <w:rFonts w:hint="eastAsia" w:ascii="方正小标宋简体" w:eastAsia="方正小标宋简体" w:cs="Times New Roman"/>
                                  <w:color w:val="FF0000"/>
                                  <w:w w:val="50"/>
                                  <w:sz w:val="100"/>
                                  <w:szCs w:val="100"/>
                                </w:rPr>
                              </w:pPr>
                              <w:r>
                                <w:rPr>
                                  <w:rFonts w:hint="eastAsia" w:ascii="方正小标宋简体" w:eastAsia="方正小标宋简体" w:cs="Times New Roman"/>
                                  <w:color w:val="FF0000"/>
                                  <w:w w:val="50"/>
                                  <w:sz w:val="100"/>
                                  <w:szCs w:val="100"/>
                                </w:rPr>
                                <w:t>泉州台商投资区管理委员会办公室文件</w:t>
                              </w:r>
                            </w:p>
                          </w:txbxContent>
                        </wps:txbx>
                        <wps:bodyPr upright="true"/>
                      </wps:wsp>
                    </wpg:wgp>
                  </a:graphicData>
                </a:graphic>
              </wp:anchor>
            </w:drawing>
          </mc:Choice>
          <mc:Fallback>
            <w:pict>
              <v:group id="_x0000_s1026" o:spid="_x0000_s1026" o:spt="203" style="position:absolute;left:0pt;margin-left:-1pt;margin-top:45.75pt;height:152.4pt;width:443.9pt;z-index:251659264;mso-width-relative:page;mso-height-relative:page;" coordorigin="9350,4374" coordsize="8878,3048" o:gfxdata="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bI1fINoAAAAJAQAADwAAAAAAAAABACAAAAA4AAAAZHJzL2Rvd25yZXYueG1sUEsBAhQA&#10;FAAAAAgAh07iQKGJIOa+AgAAcwYAAA4AAAAAAAAAAQAgAAAAPwEAAGRycy9lMm9Eb2MueG1sUEsF&#10;BgAAAAAGAAYAWQEAAG8GAAAAAA==&#10;">
                <o:lock v:ext="edit" aspectratio="f"/>
                <v:line id="直接连接符 6" o:spid="_x0000_s1026" o:spt="20" style="position:absolute;left:9381;top:7422;height:0;width:8834;" filled="f" stroked="t" coordsize="21600,21600" o:gfxdata="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MIKzbbcAAADbAAAADwAAAAAAAAABACAAAAA4AAAAZHJzL2Rvd25yZXYueG1sUEsB&#10;AhQAFAAAAAgAh07iQDMvBZ47AAAAOQAAABAAAAAAAAAAAQAgAAAAHAEAAGRycy9zaGFwZXhtbC54&#10;bWxQSwUGAAAAAAYABgBbAQAAxgMAAAAA&#10;">
                  <v:fill on="f" focussize="0,0"/>
                  <v:stroke weight="2.8pt" color="#FF0000" joinstyle="round"/>
                  <v:imagedata o:title=""/>
                  <o:lock v:ext="edit" aspectratio="f"/>
                </v:line>
                <v:shape id="文本框 7" o:spid="_x0000_s1026" o:spt="202" type="#_x0000_t202" style="position:absolute;left:9350;top:4374;height:1560;width:8879;" filled="f" stroked="f" coordsize="21600,21600" o:gfxdata="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&#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LNhGIG4AAAA2wAAAA8AAAAAAAAAAQAgAAAAOAAAAGRycy9kb3ducmV2LnhtbFBL&#10;AQIUABQAAAAIAIdO4kAzLwWeOwAAADkAAAAQAAAAAAAAAAEAIAAAAB0BAABkcnMvc2hhcGV4bWwu&#10;eG1sUEsFBgAAAAAGAAYAWwEAAMcDAAAAAA==&#10;">
                  <v:fill on="f" focussize="0,0"/>
                  <v:stroke on="f"/>
                  <v:imagedata o:title=""/>
                  <o:lock v:ext="edit" aspectratio="f"/>
                  <v:textbox>
                    <w:txbxContent>
                      <w:p>
                        <w:pPr>
                          <w:jc w:val="distribute"/>
                          <w:rPr>
                            <w:rFonts w:hint="eastAsia" w:ascii="方正小标宋简体" w:eastAsia="方正小标宋简体" w:cs="Times New Roman"/>
                            <w:color w:val="FF0000"/>
                            <w:w w:val="50"/>
                            <w:sz w:val="100"/>
                            <w:szCs w:val="100"/>
                          </w:rPr>
                        </w:pPr>
                        <w:r>
                          <w:rPr>
                            <w:rFonts w:hint="eastAsia" w:ascii="方正小标宋简体" w:eastAsia="方正小标宋简体" w:cs="Times New Roman"/>
                            <w:color w:val="FF0000"/>
                            <w:w w:val="50"/>
                            <w:sz w:val="100"/>
                            <w:szCs w:val="100"/>
                          </w:rPr>
                          <w:t>泉州台商投资区管理委员会办公室文件</w:t>
                        </w:r>
                      </w:p>
                    </w:txbxContent>
                  </v:textbox>
                </v:shape>
              </v:group>
            </w:pict>
          </mc:Fallback>
        </mc:AlternateContent>
      </w:r>
    </w:p>
    <w:p>
      <w:pPr>
        <w:rPr>
          <w:rFonts w:ascii="方正小标宋简体" w:eastAsia="方正小标宋简体" w:cs="Times New Roman"/>
          <w:sz w:val="76"/>
          <w:szCs w:val="76"/>
        </w:rPr>
      </w:pPr>
    </w:p>
    <w:p>
      <w:pPr>
        <w:tabs>
          <w:tab w:val="left" w:pos="2880"/>
        </w:tabs>
        <w:spacing w:line="580" w:lineRule="exact"/>
        <w:rPr>
          <w:rFonts w:ascii="方正小标宋简体" w:eastAsia="方正小标宋简体" w:cs="Times New Roman"/>
          <w:sz w:val="76"/>
          <w:szCs w:val="76"/>
        </w:rPr>
      </w:pPr>
      <w:r>
        <w:rPr>
          <w:rFonts w:ascii="方正小标宋简体" w:eastAsia="方正小标宋简体" w:cs="Times New Roman"/>
          <w:sz w:val="76"/>
          <w:szCs w:val="76"/>
        </w:rPr>
        <w:tab/>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泉台管办〔202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号</w:t>
      </w:r>
    </w:p>
    <w:p>
      <w:pPr>
        <w:keepNext w:val="0"/>
        <w:keepLines w:val="0"/>
        <w:pageBreakBefore w:val="0"/>
        <w:widowControl w:val="0"/>
        <w:tabs>
          <w:tab w:val="left" w:pos="2985"/>
        </w:tabs>
        <w:kinsoku/>
        <w:wordWrap/>
        <w:overflowPunct/>
        <w:topLinePunct w:val="0"/>
        <w:autoSpaceDE/>
        <w:autoSpaceDN/>
        <w:bidi w:val="0"/>
        <w:adjustRightInd w:val="0"/>
        <w:snapToGrid w:val="0"/>
        <w:spacing w:beforeAutospacing="0" w:afterAutospacing="0" w:line="500" w:lineRule="exact"/>
        <w:ind w:left="0" w:leftChars="0"/>
        <w:jc w:val="center"/>
        <w:textAlignment w:val="auto"/>
        <w:rPr>
          <w:rFonts w:hint="default" w:ascii="Times New Roman" w:hAnsi="Times New Roman" w:eastAsia="仿宋_GB2312" w:cs="Times New Roman"/>
          <w:spacing w:val="0"/>
          <w:sz w:val="32"/>
          <w:szCs w:val="32"/>
        </w:rPr>
      </w:pPr>
    </w:p>
    <w:p>
      <w:pPr>
        <w:keepNext w:val="0"/>
        <w:keepLines w:val="0"/>
        <w:pageBreakBefore w:val="0"/>
        <w:kinsoku/>
        <w:wordWrap/>
        <w:overflowPunct/>
        <w:topLinePunct w:val="0"/>
        <w:autoSpaceDE/>
        <w:autoSpaceDN/>
        <w:bidi w:val="0"/>
        <w:adjustRightInd/>
        <w:snapToGrid/>
        <w:spacing w:line="500" w:lineRule="exact"/>
        <w:jc w:val="both"/>
        <w:textAlignment w:val="auto"/>
        <w:rPr>
          <w:rFonts w:ascii="Times New Roman" w:hAnsi="Times New Roman" w:eastAsia="仿宋_GB2312" w:cs="Times New Roman"/>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小标宋简体" w:cs="Times New Roman"/>
          <w:b w:val="0"/>
          <w:bCs w:val="0"/>
          <w:w w:val="100"/>
          <w:kern w:val="2"/>
          <w:sz w:val="44"/>
          <w:szCs w:val="44"/>
          <w:lang w:val="en-US" w:eastAsia="zh-CN" w:bidi="ar-SA"/>
        </w:rPr>
      </w:pPr>
      <w:r>
        <w:rPr>
          <w:rFonts w:hint="default" w:ascii="Times New Roman" w:hAnsi="Times New Roman" w:eastAsia="方正小标宋简体" w:cs="Times New Roman"/>
          <w:b w:val="0"/>
          <w:bCs w:val="0"/>
          <w:w w:val="100"/>
          <w:kern w:val="2"/>
          <w:sz w:val="44"/>
          <w:szCs w:val="44"/>
          <w:lang w:val="en-US" w:eastAsia="zh-CN" w:bidi="ar-SA"/>
        </w:rPr>
        <w:t>泉州台商投资区管理委员会办公室关于印发《泉州市对我区教育“两项督导”2025年度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w:hAnsi="Times New Roman" w:eastAsia="方正小标宋简体" w:cs="Times New Roman"/>
          <w:b w:val="0"/>
          <w:bCs w:val="0"/>
          <w:w w:val="100"/>
          <w:kern w:val="2"/>
          <w:sz w:val="44"/>
          <w:szCs w:val="44"/>
          <w:lang w:val="en-US" w:eastAsia="zh-CN" w:bidi="ar-SA"/>
        </w:rPr>
      </w:pPr>
      <w:r>
        <w:rPr>
          <w:rFonts w:hint="default" w:ascii="Times New Roman" w:hAnsi="Times New Roman" w:eastAsia="方正小标宋简体" w:cs="Times New Roman"/>
          <w:b w:val="0"/>
          <w:bCs w:val="0"/>
          <w:w w:val="100"/>
          <w:kern w:val="2"/>
          <w:sz w:val="44"/>
          <w:szCs w:val="44"/>
          <w:lang w:val="en-US" w:eastAsia="zh-CN" w:bidi="ar-SA"/>
        </w:rPr>
        <w:t>督导反馈意见整改方案》的通知</w:t>
      </w:r>
    </w:p>
    <w:bookmarkEnd w:id="0"/>
    <w:p>
      <w:pPr>
        <w:keepNext w:val="0"/>
        <w:keepLines w:val="0"/>
        <w:pageBreakBefore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highlight w:val="none"/>
        </w:rPr>
      </w:pPr>
      <w:bookmarkStart w:id="1" w:name="OLE_LINK2"/>
      <w:r>
        <w:rPr>
          <w:rFonts w:hint="default" w:ascii="Times New Roman" w:hAnsi="Times New Roman" w:eastAsia="仿宋_GB2312" w:cs="Times New Roman"/>
          <w:sz w:val="32"/>
          <w:szCs w:val="32"/>
          <w:highlight w:val="none"/>
          <w:lang w:val="en-US" w:eastAsia="zh-CN"/>
        </w:rPr>
        <w:t>各乡镇人民政府，区直有关部门，省、市驻区有关单位</w:t>
      </w:r>
      <w:bookmarkEnd w:id="1"/>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经2026年第3次管委会委务会议研究通过，现将《泉州市对我区教育“两项督导”2025年度督导反馈意见整改方案》印发给你们，请各单位高度重视，对照整改方案要求认真组织实施，切实将各项整改任务落到实处。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lang w:val="en-US" w:eastAsia="zh-CN"/>
        </w:rPr>
        <w:t>泉州台商投资区</w:t>
      </w:r>
      <w:r>
        <w:rPr>
          <w:rFonts w:hint="eastAsia" w:ascii="Times New Roman" w:hAnsi="Times New Roman" w:eastAsia="仿宋_GB2312" w:cs="Times New Roman"/>
          <w:sz w:val="32"/>
          <w:szCs w:val="32"/>
          <w:highlight w:val="none"/>
          <w:lang w:val="en-US" w:eastAsia="zh-CN"/>
        </w:rPr>
        <w:t>管理委员</w:t>
      </w:r>
      <w:r>
        <w:rPr>
          <w:rFonts w:ascii="Times New Roman" w:hAnsi="Times New Roman" w:eastAsia="仿宋_GB2312" w:cs="Times New Roman"/>
          <w:sz w:val="32"/>
          <w:szCs w:val="32"/>
          <w:highlight w:val="none"/>
          <w:lang w:val="en-US" w:eastAsia="zh-CN"/>
        </w:rPr>
        <w:t>会办公室</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7</w:t>
      </w:r>
      <w:r>
        <w:rPr>
          <w:rFonts w:ascii="Times New Roman" w:hAnsi="Times New Roman" w:eastAsia="仿宋_GB2312" w:cs="Times New Roman"/>
          <w:sz w:val="32"/>
          <w:szCs w:val="32"/>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（此件主动公开）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b w:val="0"/>
          <w:bCs w:val="0"/>
          <w:w w:val="100"/>
          <w:kern w:val="2"/>
          <w:sz w:val="44"/>
          <w:szCs w:val="44"/>
          <w:lang w:val="en-US" w:eastAsia="zh-CN" w:bidi="ar-SA"/>
        </w:rPr>
      </w:pPr>
      <w:r>
        <w:rPr>
          <w:rFonts w:hint="default" w:ascii="Times New Roman" w:hAnsi="Times New Roman" w:eastAsia="方正小标宋简体" w:cs="Times New Roman"/>
          <w:b w:val="0"/>
          <w:bCs w:val="0"/>
          <w:w w:val="100"/>
          <w:kern w:val="2"/>
          <w:sz w:val="44"/>
          <w:szCs w:val="44"/>
          <w:lang w:val="en-US" w:eastAsia="zh-CN" w:bidi="ar-SA"/>
        </w:rPr>
        <w:t>泉州市对我区教育“两项督导”2025年度督导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b w:val="0"/>
          <w:bCs w:val="0"/>
          <w:w w:val="100"/>
          <w:kern w:val="2"/>
          <w:sz w:val="44"/>
          <w:szCs w:val="44"/>
          <w:highlight w:val="none"/>
          <w:lang w:val="en-US" w:eastAsia="zh-CN" w:bidi="ar-SA"/>
        </w:rPr>
      </w:pPr>
      <w:r>
        <w:rPr>
          <w:rFonts w:hint="default" w:ascii="Times New Roman" w:hAnsi="Times New Roman" w:eastAsia="方正小标宋简体" w:cs="Times New Roman"/>
          <w:b w:val="0"/>
          <w:bCs w:val="0"/>
          <w:w w:val="100"/>
          <w:kern w:val="2"/>
          <w:sz w:val="44"/>
          <w:szCs w:val="44"/>
          <w:lang w:val="en-US" w:eastAsia="zh-CN" w:bidi="ar-SA"/>
        </w:rPr>
        <w:t>反馈意见整改方案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w w:val="90"/>
          <w:sz w:val="44"/>
          <w:szCs w:val="44"/>
          <w:highlight w:val="none"/>
        </w:rPr>
      </w:pP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为切实抓好泉州市教育督导组对我区2025年度教育“两项督导”市级实地督导反馈问题的整改落实，进一步补齐教育发展短板，推进学前教育普及普惠和义务教育优质均衡发展创建工作，推动我区教育高质量发展，结合我区实际，制定本整改方案。</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lang w:val="en-US" w:eastAsia="zh-CN"/>
        </w:rPr>
        <w:t>一</w:t>
      </w:r>
      <w:r>
        <w:rPr>
          <w:rFonts w:hint="default" w:ascii="Times New Roman" w:hAnsi="Times New Roman" w:eastAsia="黑体" w:cs="Times New Roman"/>
          <w:bCs/>
          <w:sz w:val="32"/>
          <w:szCs w:val="32"/>
          <w:highlight w:val="none"/>
        </w:rPr>
        <w:t>、工作目标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对照福建省教育“两项督导”及学前教育普及普惠、义务教育优质均衡发展评估指标要求，全面落实各项整改任务，推动我区教育工作在党政职责、教育治理、教育经费、办学条件、教师队伍、教育质量等各领域相关指标达到或高于省、市评估标准。按期完成所有整改事项，建立健全教育发展长效机制，持续提升教育公共服务质量，为顺利通过国家义务教育优质均衡发展区创建评估奠定坚实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lang w:val="en-US" w:eastAsia="zh-CN"/>
        </w:rPr>
        <w:t>二</w:t>
      </w:r>
      <w:r>
        <w:rPr>
          <w:rFonts w:hint="default" w:ascii="Times New Roman" w:hAnsi="Times New Roman" w:eastAsia="黑体" w:cs="Times New Roman"/>
          <w:bCs/>
          <w:sz w:val="32"/>
          <w:szCs w:val="32"/>
          <w:highlight w:val="none"/>
        </w:rPr>
        <w:t>、工作要求</w:t>
      </w:r>
    </w:p>
    <w:p>
      <w:pPr>
        <w:keepNext w:val="0"/>
        <w:keepLines w:val="0"/>
        <w:pageBreakBefore w:val="0"/>
        <w:widowControl w:val="0"/>
        <w:kinsoku/>
        <w:wordWrap/>
        <w:overflowPunct/>
        <w:topLinePunct w:val="0"/>
        <w:autoSpaceDE/>
        <w:autoSpaceDN/>
        <w:bidi w:val="0"/>
        <w:adjustRightInd/>
        <w:snapToGrid/>
        <w:spacing w:line="560" w:lineRule="exact"/>
        <w:ind w:firstLine="629" w:firstLineChars="196"/>
        <w:textAlignment w:val="auto"/>
        <w:rPr>
          <w:rFonts w:hint="default" w:ascii="Times New Roman" w:hAnsi="Times New Roman" w:eastAsia="楷体_GB2312" w:cs="Times New Roman"/>
          <w:b/>
          <w:sz w:val="32"/>
          <w:szCs w:val="32"/>
          <w:highlight w:val="none"/>
          <w:lang w:val="zh-CN"/>
        </w:rPr>
      </w:pPr>
      <w:r>
        <w:rPr>
          <w:rFonts w:hint="default" w:ascii="Times New Roman" w:hAnsi="Times New Roman" w:eastAsia="楷体_GB2312" w:cs="Times New Roman"/>
          <w:b/>
          <w:sz w:val="32"/>
          <w:szCs w:val="32"/>
          <w:highlight w:val="none"/>
          <w:lang w:val="zh-CN"/>
        </w:rPr>
        <w:t>（一）提高政治站位，深化思想认识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教育是国之大计、党之大计，教育“两项督导”整改工作是补齐教育发展短板、提升教育发展质量的重要举措，更是保障民生、促进教育公平的关键工作。各乡镇、区直各相关部门、各学校要切实提高政治站位，充分认识整改工作的重要性和紧迫性，把整改工作列入重要议事日程，主动融入、积极作为，以坚决的态度、有力的举措推动整改工作落地见效，切实推动我区教育事业高质量发展。</w:t>
      </w:r>
    </w:p>
    <w:p>
      <w:pPr>
        <w:keepNext w:val="0"/>
        <w:keepLines w:val="0"/>
        <w:pageBreakBefore w:val="0"/>
        <w:widowControl w:val="0"/>
        <w:kinsoku/>
        <w:wordWrap/>
        <w:overflowPunct/>
        <w:topLinePunct w:val="0"/>
        <w:autoSpaceDE/>
        <w:autoSpaceDN/>
        <w:bidi w:val="0"/>
        <w:adjustRightInd/>
        <w:snapToGrid/>
        <w:spacing w:line="560" w:lineRule="exact"/>
        <w:ind w:firstLine="629" w:firstLineChars="196"/>
        <w:textAlignment w:val="auto"/>
        <w:rPr>
          <w:rFonts w:hint="default" w:ascii="Times New Roman" w:hAnsi="Times New Roman" w:eastAsia="楷体_GB2312" w:cs="Times New Roman"/>
          <w:b/>
          <w:sz w:val="32"/>
          <w:szCs w:val="32"/>
          <w:highlight w:val="none"/>
          <w:lang w:val="zh-CN"/>
        </w:rPr>
      </w:pPr>
      <w:r>
        <w:rPr>
          <w:rFonts w:hint="default" w:ascii="Times New Roman" w:hAnsi="Times New Roman" w:eastAsia="楷体_GB2312" w:cs="Times New Roman"/>
          <w:b/>
          <w:sz w:val="32"/>
          <w:szCs w:val="32"/>
          <w:highlight w:val="none"/>
          <w:lang w:val="zh-CN"/>
        </w:rPr>
        <w:t>（二）压实整改责任，强化协同联动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各责任单位要迅速行动，对照《2025年泉州台商投资区教育“两项督导”市级实地督导反馈问题整改责任分解表》（详见附件），立足本单位职能职责，制定详细的整改工作计划，将整改任务细化分解到岗、落实到人，明确整改步骤、时间节点和工作要求。涉及多个责任单位的整改事项，主办单位（责任单位排第一位的）要切实履行牵头职责，加强统筹协调，协办单位要主动配合、密切协作，形成上下联动、左右协同、齐抓共管的整改工作格局，确保各项整改任务无缝衔接、有序推进。</w:t>
      </w:r>
    </w:p>
    <w:p>
      <w:pPr>
        <w:keepNext w:val="0"/>
        <w:keepLines w:val="0"/>
        <w:pageBreakBefore w:val="0"/>
        <w:widowControl w:val="0"/>
        <w:kinsoku/>
        <w:wordWrap/>
        <w:overflowPunct/>
        <w:topLinePunct w:val="0"/>
        <w:autoSpaceDE/>
        <w:autoSpaceDN/>
        <w:bidi w:val="0"/>
        <w:adjustRightInd/>
        <w:snapToGrid/>
        <w:spacing w:line="560" w:lineRule="exact"/>
        <w:ind w:firstLine="629" w:firstLineChars="196"/>
        <w:textAlignment w:val="auto"/>
        <w:rPr>
          <w:rFonts w:hint="default" w:ascii="Times New Roman" w:hAnsi="Times New Roman" w:eastAsia="楷体_GB2312" w:cs="Times New Roman"/>
          <w:b/>
          <w:sz w:val="32"/>
          <w:szCs w:val="32"/>
          <w:highlight w:val="none"/>
          <w:lang w:val="zh-CN"/>
        </w:rPr>
      </w:pPr>
      <w:r>
        <w:rPr>
          <w:rFonts w:hint="default" w:ascii="Times New Roman" w:hAnsi="Times New Roman" w:eastAsia="楷体_GB2312" w:cs="Times New Roman"/>
          <w:b/>
          <w:sz w:val="32"/>
          <w:szCs w:val="32"/>
          <w:highlight w:val="none"/>
          <w:lang w:val="zh-CN"/>
        </w:rPr>
        <w:t>（三）加强督查督办，确保整改实效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区教育文体旅游局要按照教育督导相关规定，牵头组织开展整改工作专项督导检查，实时掌握各单位整改工作进展情况，及时发现并协调解决整改过程中出现的问题。区管委会办公室要将整改工作落实情况纳入专项督查范围，对各单位整改工作推进情况进行跟踪督促，对整改工作不力、进度滞后、敷衍塞责的单位进行通报批评，同时将整改工作落实情况纳入各单位年度绩效考评，以严格的督查考核倒逼整改责任落实，确保所有整改问题按期整改到位、取得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US" w:eastAsia="zh-CN"/>
        </w:rPr>
        <w:t>附件：</w:t>
      </w:r>
      <w:r>
        <w:rPr>
          <w:rFonts w:hint="eastAsia" w:ascii="Times New Roman" w:hAnsi="Times New Roman" w:eastAsia="仿宋_GB2312" w:cs="Times New Roman"/>
          <w:sz w:val="32"/>
          <w:szCs w:val="32"/>
          <w:highlight w:val="none"/>
          <w:lang w:val="en-US" w:eastAsia="zh-CN"/>
        </w:rPr>
        <w:t>2025年泉州台商投资区教育“两项督导”市级实地督导反馈问题整改责任分解表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sz w:val="32"/>
          <w:szCs w:val="32"/>
          <w:highlight w:val="none"/>
        </w:rPr>
        <w:sectPr>
          <w:footerReference r:id="rId3" w:type="default"/>
          <w:pgSz w:w="11906" w:h="16838"/>
          <w:pgMar w:top="1928" w:right="1531" w:bottom="1871" w:left="1531" w:header="851" w:footer="992" w:gutter="0"/>
          <w:pgNumType w:fmt="decimal"/>
          <w:cols w:space="425" w:num="1"/>
          <w:docGrid w:type="lines" w:linePitch="312" w:charSpace="0"/>
        </w:sectPr>
      </w:pPr>
    </w:p>
    <w:tbl>
      <w:tblPr>
        <w:tblStyle w:val="8"/>
        <w:tblW w:w="5103" w:type="pct"/>
        <w:tblInd w:w="-1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4"/>
        <w:gridCol w:w="500"/>
        <w:gridCol w:w="2465"/>
        <w:gridCol w:w="3729"/>
        <w:gridCol w:w="4123"/>
        <w:gridCol w:w="1401"/>
        <w:gridCol w:w="1106"/>
        <w:gridCol w:w="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8"/>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rPr>
                <w:rFonts w:hint="eastAsia" w:ascii="仿宋_GB2312" w:hAnsi="微软雅黑" w:eastAsia="仿宋_GB2312" w:cs="仿宋_GB2312"/>
                <w:i w:val="0"/>
                <w:iCs w:val="0"/>
                <w:color w:val="000000"/>
                <w:sz w:val="32"/>
                <w:szCs w:val="32"/>
                <w:highlight w:val="none"/>
                <w:u w:val="none"/>
              </w:rPr>
            </w:pPr>
            <w:r>
              <w:rPr>
                <w:rFonts w:hint="eastAsia" w:ascii="黑体" w:hAnsi="黑体" w:eastAsia="黑体" w:cs="黑体"/>
                <w:i w:val="0"/>
                <w:iCs w:val="0"/>
                <w:color w:val="000000"/>
                <w:kern w:val="0"/>
                <w:sz w:val="32"/>
                <w:szCs w:val="32"/>
                <w:highlight w:val="none"/>
                <w:u w:val="none"/>
                <w:lang w:val="en-US" w:eastAsia="zh-CN" w:bidi="ar"/>
              </w:rPr>
              <w:t>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00" w:type="pct"/>
            <w:gridSpan w:val="8"/>
            <w:tcBorders>
              <w:top w:val="nil"/>
              <w:left w:val="nil"/>
              <w:bottom w:val="nil"/>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i w:val="0"/>
                <w:iCs w:val="0"/>
                <w:color w:val="000000"/>
                <w:kern w:val="0"/>
                <w:sz w:val="44"/>
                <w:szCs w:val="44"/>
                <w:highlight w:val="none"/>
                <w:u w:val="none"/>
                <w:lang w:val="en-US" w:eastAsia="zh-CN" w:bidi="ar"/>
              </w:rPr>
            </w:pPr>
            <w:r>
              <w:rPr>
                <w:rFonts w:hint="default" w:ascii="Times New Roman" w:hAnsi="Times New Roman" w:eastAsia="方正小标宋简体" w:cs="Times New Roman"/>
                <w:i w:val="0"/>
                <w:iCs w:val="0"/>
                <w:color w:val="000000"/>
                <w:kern w:val="0"/>
                <w:sz w:val="44"/>
                <w:szCs w:val="44"/>
                <w:highlight w:val="none"/>
                <w:u w:val="none"/>
                <w:lang w:val="en-US" w:eastAsia="zh-CN" w:bidi="ar"/>
              </w:rPr>
              <w:t>2025年泉州台商投资区教育“两项督导”市级实地督导</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i w:val="0"/>
                <w:iCs w:val="0"/>
                <w:color w:val="000000"/>
                <w:kern w:val="0"/>
                <w:sz w:val="44"/>
                <w:szCs w:val="44"/>
                <w:highlight w:val="none"/>
                <w:u w:val="none"/>
                <w:lang w:val="en-US" w:eastAsia="zh-CN" w:bidi="ar"/>
              </w:rPr>
            </w:pPr>
            <w:r>
              <w:rPr>
                <w:rFonts w:hint="default" w:ascii="Times New Roman" w:hAnsi="Times New Roman" w:eastAsia="方正小标宋简体" w:cs="Times New Roman"/>
                <w:i w:val="0"/>
                <w:iCs w:val="0"/>
                <w:color w:val="000000"/>
                <w:kern w:val="0"/>
                <w:sz w:val="44"/>
                <w:szCs w:val="44"/>
                <w:highlight w:val="none"/>
                <w:u w:val="none"/>
                <w:lang w:val="en-US" w:eastAsia="zh-CN" w:bidi="ar"/>
              </w:rPr>
              <w:t>反馈问题整改责任分解表</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i w:val="0"/>
                <w:iCs w:val="0"/>
                <w:color w:val="000000"/>
                <w:kern w:val="0"/>
                <w:sz w:val="44"/>
                <w:szCs w:val="4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序号</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项目</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主要问题</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整改意见</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整改措施</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整改时间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责任单位</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5"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p>
        </w:tc>
        <w:tc>
          <w:tcPr>
            <w:tcW w:w="1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党政职责方面</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一是督导考核机制与制度有待健全，对区直部门、乡镇教育职责履职情况考核机制不完善；区级领导挂钩联系学校制度需进一步优化；区域内办学容量、教师配备等热点、难点问题亟待破解。</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加强党对教育工作的全面领导。不断完善党委统一领导、党政齐抓共管、部门各负其责的教育领导体制。健全领导挂钩联系学校制度和党委常委会</w:t>
            </w:r>
            <w:r>
              <w:rPr>
                <w:rFonts w:hint="eastAsia" w:ascii="Times New Roman" w:hAnsi="Times New Roman" w:eastAsia="仿宋_GB2312" w:cs="Times New Roman"/>
                <w:i w:val="0"/>
                <w:iCs w:val="0"/>
                <w:color w:val="000000"/>
                <w:kern w:val="0"/>
                <w:sz w:val="24"/>
                <w:szCs w:val="24"/>
                <w:highlight w:val="none"/>
                <w:u w:val="none"/>
                <w:lang w:val="en-US" w:eastAsia="zh-CN" w:bidi="ar"/>
              </w:rPr>
              <w:t>会</w:t>
            </w:r>
            <w:r>
              <w:rPr>
                <w:rFonts w:hint="default" w:ascii="Times New Roman" w:hAnsi="Times New Roman" w:eastAsia="仿宋_GB2312" w:cs="Times New Roman"/>
                <w:i w:val="0"/>
                <w:iCs w:val="0"/>
                <w:color w:val="000000"/>
                <w:kern w:val="0"/>
                <w:sz w:val="24"/>
                <w:szCs w:val="24"/>
                <w:highlight w:val="none"/>
                <w:u w:val="none"/>
                <w:lang w:val="en-US" w:eastAsia="zh-CN" w:bidi="ar"/>
              </w:rPr>
              <w:t>议教机制。健全督导考核体系，完善区直部门教育职责绩效指标，强化结果运用。</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调整充实区党工委教育工作领导小组，调整区领导挂钩联系学校，将区直部门、乡镇教育履职情况纳入绩效考核，建立督导考核体系，全面加强党对教育工作的领导，构建各司其职、各负其责的齐抓共管工作格局。</w:t>
            </w:r>
            <w:bookmarkStart w:id="3" w:name="_GoBack"/>
            <w:bookmarkEnd w:id="3"/>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2026年4月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管委会办公室、党群工作部、教育文体旅游局、各乡镇人民政府</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0"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4"/>
                <w:szCs w:val="24"/>
                <w:highlight w:val="none"/>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二是控辍保学工作有待加强，实地核查两所初中，均存在疑似辍学现象。</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进一步压实各方控辍保学责任，落实控辍保学长效机制，建立适龄儿童（含随迁子女）、疑似失学辍学学生、失学辍学学生等“三本台账”；做好重点人群监测，健全辍学学生快速发现与响应机制。</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成立区特殊教育专家委员会，加强孤儿、残疾儿童等重点人群排查监测工作，与检察、公安、民政、残联等部门协作配合、信息共享，结合“小升初”学籍未接续名单专项排查，做到排查无遗漏。强化学籍管理，加强数字化赋能控辍保学工作，切实做好控辍保学“三本台</w:t>
            </w:r>
            <w:r>
              <w:rPr>
                <w:rFonts w:hint="eastAsia" w:ascii="Times New Roman" w:hAnsi="Times New Roman" w:eastAsia="仿宋_GB2312" w:cs="Times New Roman"/>
                <w:i w:val="0"/>
                <w:iCs w:val="0"/>
                <w:color w:val="000000"/>
                <w:kern w:val="0"/>
                <w:sz w:val="24"/>
                <w:szCs w:val="24"/>
                <w:highlight w:val="none"/>
                <w:u w:val="none"/>
                <w:lang w:val="en-US" w:eastAsia="zh-CN" w:bidi="ar"/>
              </w:rPr>
              <w:t>账</w:t>
            </w:r>
            <w:r>
              <w:rPr>
                <w:rFonts w:hint="default" w:ascii="Times New Roman" w:hAnsi="Times New Roman" w:eastAsia="仿宋_GB2312" w:cs="Times New Roman"/>
                <w:i w:val="0"/>
                <w:iCs w:val="0"/>
                <w:color w:val="000000"/>
                <w:kern w:val="0"/>
                <w:sz w:val="24"/>
                <w:szCs w:val="24"/>
                <w:highlight w:val="none"/>
                <w:u w:val="none"/>
                <w:lang w:val="en-US" w:eastAsia="zh-CN" w:bidi="ar"/>
              </w:rPr>
              <w:t>”</w:t>
            </w:r>
            <w:r>
              <w:rPr>
                <w:rFonts w:hint="eastAsia" w:ascii="Times New Roman" w:hAnsi="Times New Roman" w:eastAsia="仿宋_GB2312" w:cs="Times New Roman"/>
                <w:i w:val="0"/>
                <w:iCs w:val="0"/>
                <w:color w:val="000000"/>
                <w:kern w:val="0"/>
                <w:sz w:val="24"/>
                <w:szCs w:val="24"/>
                <w:highlight w:val="none"/>
                <w:u w:val="none"/>
                <w:lang w:val="en-US" w:eastAsia="zh-CN" w:bidi="ar"/>
              </w:rPr>
              <w:t>（</w:t>
            </w:r>
            <w:r>
              <w:rPr>
                <w:rFonts w:hint="default" w:ascii="Times New Roman" w:hAnsi="Times New Roman" w:eastAsia="仿宋_GB2312" w:cs="Times New Roman"/>
                <w:i w:val="0"/>
                <w:iCs w:val="0"/>
                <w:color w:val="000000"/>
                <w:kern w:val="0"/>
                <w:sz w:val="24"/>
                <w:szCs w:val="24"/>
                <w:highlight w:val="none"/>
                <w:u w:val="none"/>
                <w:lang w:val="en-US" w:eastAsia="zh-CN" w:bidi="ar"/>
              </w:rPr>
              <w:t>适龄儿童、疑似失学辍学学生、失学辍学学生</w:t>
            </w:r>
            <w:r>
              <w:rPr>
                <w:rFonts w:hint="eastAsia" w:ascii="Times New Roman" w:hAnsi="Times New Roman" w:eastAsia="仿宋_GB2312" w:cs="Times New Roman"/>
                <w:i w:val="0"/>
                <w:iCs w:val="0"/>
                <w:color w:val="000000"/>
                <w:kern w:val="0"/>
                <w:sz w:val="24"/>
                <w:szCs w:val="24"/>
                <w:highlight w:val="none"/>
                <w:u w:val="none"/>
                <w:lang w:val="en-US" w:eastAsia="zh-CN" w:bidi="ar"/>
              </w:rPr>
              <w:t>）</w:t>
            </w:r>
            <w:r>
              <w:rPr>
                <w:rFonts w:hint="default" w:ascii="Times New Roman" w:hAnsi="Times New Roman" w:eastAsia="仿宋_GB2312" w:cs="Times New Roman"/>
                <w:i w:val="0"/>
                <w:iCs w:val="0"/>
                <w:color w:val="000000"/>
                <w:kern w:val="0"/>
                <w:sz w:val="24"/>
                <w:szCs w:val="24"/>
                <w:highlight w:val="none"/>
                <w:u w:val="none"/>
                <w:lang w:val="en-US" w:eastAsia="zh-CN" w:bidi="ar"/>
              </w:rPr>
              <w:t>管理。建立月报、通报制度，快速精准劝返复学。各学校及时将疑似辍学学生名单发函给乡镇，切实落实属地政府责任强化常态化督导检查，严格落实责任追究，扎实推进控辍保学工作，实现动态清零，确保“一个都不落下”。</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2026年4月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教育文体旅游局、各乡镇人民政府</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735"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3</w:t>
            </w:r>
          </w:p>
        </w:tc>
        <w:tc>
          <w:tcPr>
            <w:tcW w:w="1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教育治理方面</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一是部分学校章程未按程序备案，无相应审核材料；未完善激发中小学办学活力配套措施；“社会事务进校园”活动规范管理需加强。</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全面提升教育治理的能力水平。坚持“守正创新”，统筹制定和实施教育评价、激发中小学办学活力等改革，以改革加快推进全区教育高质量发展。进一步完善学校章程审核备案机制，完善安全工作调度机制，落实“进校园”活动白名单制度，提升教育治理精细化水平。</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要求未按程序备案章程的学校按照《泉州台商投资区教育文体旅游局关于开展学校章程修订工作的通知》规范做好章程备案审核工作。进一步加强“社会事务进校园”工作，严格落实白名单制度，结合期初开学调研等方式，深入学校督导检查，摸排线索，按上级要求及时叫停和清理不在白名单内的进校园活动，切实减少师生负担。进一步完善教育评价，激发中小学办学活力。</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2026年4月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教育文体旅游局</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680"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4</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highlight w:val="none"/>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二是个别学校未开齐开足规定课程，作业公示制度不完善，《义务教育评价指南》落实不到位。</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严格规范办学行为，执行国家课程计划，健全作业公示和考试管理等制度，进一步落实“双减”工作。</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严格按照省颁《课程计划》要求，开齐开足规定课程。执行“巡课制度”，加强“推门听课”管理，切实落实国家课程计划，贯彻《课标精神》。深入贯彻落实“双减”工作精神，推动作业减负“调结构、提质量”，加强课后服务管理，扩大特色课程的参与率，课后服务“扩渠道、提质量”，推进全区义务教育学校课后服务“2+N”模式全覆盖。通过开展教师技能比赛、命题比赛、作业设计比赛等形式，提高教师专业素养。继续开展教辅征订专项整治行动，加强中小学日常考试管理，提高作业设计和管理水平。全面落实“5G+专递课堂”建设，推动优质教育资源共享，推进课堂教学质量提升。采取结果评价与增值评价相结合，并依据量化结果奖优罚劣。</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2026年4月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教育文体旅游局</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0"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5</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highlight w:val="none"/>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三是个别学校周边交通环境复杂。</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进一步完善安全工作调度机制。</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全面推行“多方联动护学岗”模式，形成了“交警、学校、家长、社会”四位一体的常态化护学力量。公安交警部门负责高峰勤务与交通执法；学校落实值日教师、保安主体责任；家长志愿者踊跃参与劝导；社区及周边单位提供必要支持。该机制实现了上下学重点时段校园门口及周边路段“见警力、见劝导、见秩序”，护学工作覆盖率和实效性得到双重保障。</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2026年4月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教育文体旅游局、交警大队、各乡镇人民政府</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6"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6</w:t>
            </w:r>
          </w:p>
        </w:tc>
        <w:tc>
          <w:tcPr>
            <w:tcW w:w="1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教育经费方面</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一是教育经费执行率不高，2024年生均公用经费实际到位数，高中阶段964元/生·年，学前教育阶段547元/生·年，未达到省定标准。</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进一步加强教育经费全过程监管，优先保证教育经费刚性投入，提高生均公用经费等各项教育经费的执行率，确保教育投入发挥最大效能。</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组织学校排查执行率偏低的原因，加快预算执行进度，确保教育经费规范、高效使用，切实服务于教育教学质量的提升。</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2026年8月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财政金融与国资局、教育文体旅游局</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7</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highlight w:val="none"/>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二是教育费附加个别支出不合规，2024年征收教育费附加3255万元，投入教育3212.85万元，其中，用于进修学校功能室建设等53.09万元，占投入教育的16.52%。</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全面规范教育经费的管理使用。严格执行《福建省教育费附加支出管理暂行办法》规定，规范教育费附加等专项资金的使用，确保专款专用、投向合理，按规定用于基础教育和职业教育学校改善办学条件。</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严格执行《福建省教育费附加支出管理暂行办法》规定，切实规范教育费附加的支出行为，提升资金使用绩效。</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2026年8月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财政金融与国资局、教育文体旅游局</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5"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8</w:t>
            </w:r>
          </w:p>
        </w:tc>
        <w:tc>
          <w:tcPr>
            <w:tcW w:w="1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办学条件方面</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一是全区3所学校规模超过2000人省定标准，5所乡村小学低于百人；小学46-50人班级278个，占比45.06%，51-55人班级24个，占比3.89%；中学51-55人班级13个，占比5.51%。</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全面推进资源配置的提质增效。根据城镇学龄人口变动趋势，科学规划调整教育布局，加快推进教育重点项目建设和教育配套项目落地，优化城区学校布局，改善农村学校办学条件。</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实施《泉州台商投资区教育布局专项规划（2023-2035年）》，加强学位预警制度，严格控制学校班生规模，制定《泉州台商投资区消除义务教育阶段大班额工作方案》，制定时间表、路线图，明确年度工作任务，2026年秋季，各中小学起始年级50人及以上班额全部消除。大力实施扩容建设工程，加快推进第七实验小学新校区建设，整合撤并个别小规模学校，探索九年一贯制学校，进一步优化学位供给，促进教育资源更加合理均衡配置，有计划逐步消除大校额学校。</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2026年8月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教育文体旅游局、自然资源与规划建设交通局</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0"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9</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highlight w:val="none"/>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二是部分学校未根据实际所需补充教学仪器设备，部分学校对老旧、破损教学仪器设备未及时更新换代，特教学校康复设施设备尚未配齐配全。</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根据教育部《教育信息化2.0行动计划》，积极发挥“智慧校园”引领示范作用，加强“三个课堂”建设，促进教育信息化广泛应用。</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根据学校实际课程设置及开课情况，定期做好实验仪器设备达标增补需求调查，并适时进行采购增配和更新。</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2026年8月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教育文体旅游局</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highlight w:val="none"/>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三是教育信息化应用有待深化。</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继续提升中小学教师信息技术应用能力，鼓励教师参加各级各类精品课比赛，加强优质教育资源共建共享，增强信息技术与学科教学的深度融合。</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组织中小学信息技术教师积极参与前沿研修与专业进阶培训，提升中小学教师信息技术应用能力，充分发挥其在学校教育信息化进程中的引擎与领航员作用。</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2026年8月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教育文体旅游局</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4"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11</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highlight w:val="none"/>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四是实验教学管理不够精细，实验教学开展效果不佳，学生分组实验未落实到位。</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按照教育部《中小学实验室规程》要求，建立设施设备维护保养经费运行长效机制，健全实验教学、图书馆（室）等管理制度，加强化学危险药品监管，开齐开足开好实验课程，培养学生创新探索精神和动手操作能力。</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加强实验教学管理和图书馆管理工作，健全实验设备设施维护保养经费保障制度。开展不定期巡查巡课工作，督促学校开齐开足实验课程，严格执行实验准备制度、记录制度，将实验教学作为教研活动重要内容。加强仪器设备维护保养，登记造册，分门别类、定柜定位，确保物卡一致、账册相符。提升实验教学效果，鼓励师生自制教具、自主创新，着重培养学生搜集和处理信息和新知识的能力、分析和解决问题能力以及交流与合作能力。健全综合实践课程管理制度，结合教学实际抓好落实。</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2026年4月、长期坚持</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教育文体旅游局</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12</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highlight w:val="none"/>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五是部分馆藏图书年限久，未剔旧更新；馆藏结构不合理，部分图书复本数远超3本以上。</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坚持以师生需求为导向，制定馆藏图书（纸质、数字等资源）发展规划，做好图书更新。</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建立以师生需求为导向的馆藏动态更新机制，定期评估并补充图书资源。</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2026年12月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教育文体旅游局</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0"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13</w:t>
            </w:r>
          </w:p>
        </w:tc>
        <w:tc>
          <w:tcPr>
            <w:tcW w:w="1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教师队伍方面</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一是教师配备不足，幼儿园在编教师占比25.06%，配备率偏低；小学体育、艺术、心理健康专任教师配备未达省标准值。</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全面加强中小学教师队伍建设。加强编制配置，核足幼儿园编制数或人员控制数，做好区域内学校、学段、学科之间编制和师资力量的整合，用好用足用活核定的编制。加大中小学紧缺学科教师补充力度，及时招聘补充缺额教师，满足教育教学运转工作需求。</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加强编制保障，按规定核足幼儿园编制或人员控制数，并做好区域内编制与师资的动态统筹与优化配置，确保核定编制用足用好。加大紧缺学科教师补充力度，根据实际缺额及时组织招聘，切实保障教育教学正常运转需求。</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2026年12月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党群工作部、教育文体旅游局</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5"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14</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highlight w:val="none"/>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二是区教师进修学校还未通过省标准化教师进修学校建设评估认定，各学科专职教研员数量不足。</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以标准化教师进修学校建设评估认定标准为核心导向，聚焦“专职教研员数量不足”这一突出短板，坚持“补齐缺口、规范管理、提升素养、长效保障”的整改思路，将教研员队伍建设作为标准化创建的重中之重，统筹规划、精准施策、从严推进，全面补齐建设短板，确保早日通过标准化评估认定，切实发挥教师进修学校在区域教师专业发展中的引领、指导、培训和服务核心职能。</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严格对照标准化评估认定中各学科专职教研员的配置标准，梳理各学段、各学科教研员缺口情况，补齐数量缺口，确保各学科均有专职教研员在岗履职，满足教研工作常态化开展需求。完善教研员队伍建设长效保障机制，优化人员配置、经费投入、资源保障等相关制度，防止教研员数量不足问题反弹，同步推进学校标准化建设其他相关工作，全面达到评估认定标准。</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2027年12月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教育文体旅游局、党群工作部</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5"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15</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highlight w:val="none"/>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三是市级及以上名优教师、校长数量不足，示范辐射作用不够明显。</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加强教育领军人才和骨干教师培养，开展名师、学科带头人等“送培送教”活动，发挥名优教师、校长在区域的示范辐射引领作用。</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贯彻落实《泉州台商投资区基础教育领军人才培养计划实施方案》，实施名优教师培养“12310计划”。开展常态化送教下乡、送研到校活动，组织市级及以上名优教师、校长深入农村学校、薄弱学校，开展公开课、示范课、教研研讨、专题讲座等活动，针对薄弱学校的教学短板和教师需求，进行精准指导，帮助其解决教学和管理中的实际问题，每年送教下乡、送研到校活动不少于规定场次。</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2026年12月、长期坚持</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教育文体旅游局、党群工作部</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5"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16</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highlight w:val="none"/>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四是教师待遇保障和激励机制不够健全，2024年中小学教师年平均工资收入低于区属公务员年平均工资收入。</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进一步健全教师待遇保障和奖励机制，按《中华人民共和国教育法》规定，落实中小学教师待遇保障，统筹考虑学前教育、高中教育阶段教师，以及执行中小学绩效工资制度的教育事业单位人员工资待遇。</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坚持教育优先发展战略，依法依规全面落实教师待遇保障政策，建立健全与公务员联动的长效保障机制及多元化的教师奖励激励机制，确保区域内中小学教师平均工资收入水平不低于或高于当地公务员平均工资收入水平。</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2026年6月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教育文体旅游局、财政金融与国资局、党群工作部</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17</w:t>
            </w:r>
          </w:p>
        </w:tc>
        <w:tc>
          <w:tcPr>
            <w:tcW w:w="1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教育质量方面</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一是根据2023年省级质量监测反馈，语文学科，九年级学生学业水平达Ⅱ级以上低于全省平均水平；数学学科，五年级、九年级学生学业水平达Ⅱ级以上低于全省平均水平；英语学科，五年级、九年级学生学业水平达Ⅱ级以上低于全省平均水平。</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全面推动教育教学的内涵提质。提高课程实施水平，建立课程实施监测制度，强化对义务教育质量监测反馈结果的应用和教学视导，重点提高农村学校和薄弱学校的质量。深化“5G+专递课堂”、“名优校+”教育发展共同体建设，通过送教下乡、骨干教师交流等形式，推动优质教育资源向薄弱学校倾斜。</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强化监测结果应用，制定实施国家课程标准具体措施，以课堂教学为主渠道进行创新教育，探索开设专门的校本课程进行创新思维训练。建立课程实施监测制度，强化对义务教育质量监测反馈结果的应用，组织解读、分析、整改工作会议，责任任务有效分解。开展专项教学视导，全面梳理排查“优均”指标中“短板”，精准施策、靶向发力，补短板、促均衡，确保各项指标达标。结合“5G+”、“名优校+”教育发展共同体建设，通过送教下乡、骨干教师交流、走教支教，进一步发挥名校优质资源辐射作用，不断推动优质教育资源均衡发展。</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2026年6月、长期坚持</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教育文体旅游局</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8"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18</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highlight w:val="none"/>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二是部分学校校园文化建设单薄，育人功能有待加强。</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推进校园文化建设，鼓励中小学创新培育科技教育、体育等办学特色，不断提升办学品质。</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深化德育课程建设，将《中小学德育指南》融入课程，提升德育实效。加强校园文化建设，优化校园和班级环境设计，强化育人功能。强调各学校要加强校园文化硬基础设施建设，整体规划设计校园文化，夯实发展基础；同时，提升文化软实力，塑造核心价值，与办学理念特色紧密结合、加强育人功能。常态化开展下校检查，实地指导校园文件建设薄弱校。</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2026年4月、长期坚持</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教育文体旅游局</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19</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highlight w:val="none"/>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三是学校心理健康教育工作有待强化。</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强化专兼职心理健康教师配备和研训，注重心理健康教室设施设备的投入和经费保障，落实心理健康教育课程。</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配齐配足专兼职心理健康教师，提升教师队伍，特别是班主任队伍心理健康教育能力。建设、提升学校心理咨询室并发挥作用。通过公开招聘增加心理健康教师编内1名，编外4名。</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2026年12月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教育文体旅游局</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3" w:hRule="atLeast"/>
        </w:trPr>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highlight w:val="none"/>
                <w:u w:val="none"/>
              </w:rPr>
            </w:pP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四是残疾儿童的教育安置有待规范，随班就读的教学管理、个性化教育与康复训练有待提高。随班就读基地校建设相对滞后，4个乡镇的小学、初中均未建设随班就读基地校。</w:t>
            </w:r>
          </w:p>
        </w:tc>
        <w:tc>
          <w:tcPr>
            <w:tcW w:w="1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推动特殊教育全纳融合发展，完善教育、卫健、民政、残联等部门统筹推进工作机制，加强残疾儿童鉴定评估、教育安置、康复训练，为不同类型和不同程度的残疾儿童提供多形式的学习机会，切实保障残疾儿童的教育权利；加快普通学校资源教室建设，加强随班就读和送教上门工作的指导管理，提高送教质量。</w:t>
            </w:r>
          </w:p>
        </w:tc>
        <w:tc>
          <w:tcPr>
            <w:tcW w:w="1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联合区卫健、民政、残联等部门成立泉州台商投资区特殊教育专家委员会，指导开展残疾儿童少年鉴定评估、教育安置以及特殊教育政策研究，保障残疾儿童少年受教育权利，巩固提升残疾适龄儿童义务教育入学率；加快随班就读基地校规划建设，完善随班就读和送教上门工作的管理制度。做大做优区特教学校，推动特教学校对全区特教工作的资源辐射。</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2026年12月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教育文体旅游局、民生保障局</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Times New Roman" w:hAnsi="Times New Roman" w:eastAsia="仿宋_GB2312"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00" w:hRule="atLeast"/>
        </w:trPr>
        <w:tc>
          <w:tcPr>
            <w:tcW w:w="5000" w:type="pct"/>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32"/>
                <w:szCs w:val="32"/>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备注：责任单位排第一位的为主办单位，其他为协办单位。</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sz w:val="32"/>
          <w:szCs w:val="32"/>
          <w:highlight w:val="none"/>
        </w:rPr>
      </w:pPr>
    </w:p>
    <w:p>
      <w:pPr>
        <w:rPr>
          <w:rFonts w:ascii="Times New Roman" w:hAnsi="Times New Roman" w:eastAsia="仿宋_GB2312" w:cs="Times New Roman"/>
          <w:sz w:val="32"/>
          <w:szCs w:val="32"/>
          <w:highlight w:val="none"/>
        </w:rPr>
        <w:sectPr>
          <w:pgSz w:w="16838" w:h="11906" w:orient="landscape"/>
          <w:pgMar w:top="1531" w:right="1531" w:bottom="1531" w:left="1531" w:header="851" w:footer="992" w:gutter="0"/>
          <w:pgNumType w:fmt="decimal"/>
          <w:cols w:space="425" w:num="1"/>
          <w:docGrid w:type="lines" w:linePitch="312" w:charSpace="0"/>
        </w:sect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tabs>
          <w:tab w:val="left" w:pos="8819"/>
        </w:tabs>
        <w:adjustRightInd w:val="0"/>
        <w:snapToGrid w:val="0"/>
        <w:spacing w:line="580" w:lineRule="exact"/>
        <w:ind w:left="1155" w:leftChars="150" w:right="315" w:rightChars="150" w:hanging="840" w:hangingChars="300"/>
        <w:jc w:val="left"/>
        <w:rPr>
          <w:rFonts w:ascii="Times New Roman" w:hAnsi="Times New Roman" w:eastAsia="仿宋_GB2312" w:cs="Times New Roman"/>
          <w:sz w:val="32"/>
          <w:szCs w:val="32"/>
          <w:highlight w:val="none"/>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412750</wp:posOffset>
                </wp:positionV>
                <wp:extent cx="561340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56134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05pt;margin-top:32.5pt;height:0pt;width:442pt;z-index:251662336;mso-width-relative:page;mso-height-relative:page;" filled="f" stroked="t" coordsize="21600,21600" o:gfxdata="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Vb15cNUAAAAHAQAADwAAAAAAAAABACAAAAA4AAAAZHJzL2Rvd25yZXYueG1sUEsBAhQA&#10;FAAAAAgAh07iQMJl0j7fAQAApwMAAA4AAAAAAAAAAQAgAAAAOgEAAGRycy9lMm9Eb2MueG1sUEsF&#10;BgAAAAAGAAYAWQEAAIs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19050</wp:posOffset>
                </wp:positionV>
                <wp:extent cx="561340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6134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1.5pt;height:0pt;width:442pt;z-index:251661312;mso-width-relative:page;mso-height-relative:page;" filled="f" stroked="t" coordsize="21600,21600" o:gfxdata="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CSsCvC0gAAAAQBAAAPAAAAAAAAAAEAIAAAADgAAABkcnMvZG93bnJldi54bWxQSwECFAAU&#10;AAAACACHTuJA2BnKPuEBAACnAwAADgAAAAAAAAABACAAAAA3AQAAZHJzL2Uyb0RvYy54bWxQSwUG&#10;AAAAAAYABgBZAQAAig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泉州台商投资区管理委员会办公室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 xml:space="preserve">日印发 </w:t>
      </w:r>
      <w:r>
        <w:rPr>
          <w:rFonts w:hint="default" w:ascii="Times New Roman" w:hAnsi="Times New Roman" w:eastAsia="宋体" w:cs="Times New Roman"/>
          <w:sz w:val="28"/>
          <w:szCs w:val="28"/>
        </w:rPr>
        <w:t xml:space="preserve"> </w:t>
      </w:r>
      <w:bookmarkStart w:id="2" w:name="br2"/>
      <w:bookmarkEnd w:id="2"/>
    </w:p>
    <w:sectPr>
      <w:pgSz w:w="11906" w:h="16838"/>
      <w:pgMar w:top="1928"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1MDYwYzY2ZmFmNGQ4MjJmOTAyMDU1NzdjMzRmOTMifQ=="/>
  </w:docVars>
  <w:rsids>
    <w:rsidRoot w:val="4AF04776"/>
    <w:rsid w:val="0F621C35"/>
    <w:rsid w:val="142E0E28"/>
    <w:rsid w:val="1A613DF6"/>
    <w:rsid w:val="21257C8F"/>
    <w:rsid w:val="25D2561C"/>
    <w:rsid w:val="27B25610"/>
    <w:rsid w:val="33735550"/>
    <w:rsid w:val="44215863"/>
    <w:rsid w:val="4AF04776"/>
    <w:rsid w:val="4FAFDA3A"/>
    <w:rsid w:val="55525EB4"/>
    <w:rsid w:val="5F026959"/>
    <w:rsid w:val="664F21E0"/>
    <w:rsid w:val="784067B7"/>
    <w:rsid w:val="7F5C204D"/>
    <w:rsid w:val="D7FED572"/>
    <w:rsid w:val="E3FF07D2"/>
    <w:rsid w:val="F9FF5FDA"/>
    <w:rsid w:val="FFDB1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7350</Words>
  <Characters>7557</Characters>
  <Lines>0</Lines>
  <Paragraphs>0</Paragraphs>
  <TotalTime>26</TotalTime>
  <ScaleCrop>false</ScaleCrop>
  <LinksUpToDate>false</LinksUpToDate>
  <CharactersWithSpaces>7559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2026-02-10T09:33:00Z</dcterms:created>
  <dc:creator>--朵圆滚滚的云</dc:creator>
  <cp:lastModifiedBy>baixin</cp:lastModifiedBy>
  <cp:lastPrinted>2026-04-14T07:50:00Z</cp:lastPrinted>
  <dcterms:modified xsi:type="dcterms:W3CDTF">2026-06-17T17:39:27Z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D898E994FE5E14B855A0DC696C252CAA</vt:lpwstr>
  </property>
  <property fmtid="{D5CDD505-2E9C-101B-9397-08002B2CF9AE}" pid="4" name="KSOTemplateDocerSaveRecord">
    <vt:lpwstr>eyJoZGlkIjoiNDYwN2E2Zjk1YmU0ZGVkNzg1YjRkMWQ2NDI5MGU2NzAifQ==</vt:lpwstr>
  </property>
</Properties>
</file>